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2021 61 vom 17. September 2021</w:t>
      </w:r>
    </w:p>
    <w:p>
      <w:r>
        <w:t>GR Gerichte, 2021-09-17, DE</w:t>
      </w:r>
    </w:p>
    <w:p>
      <w:r>
        <w:rPr>
          <w:b/>
        </w:rPr>
        <w:t xml:space="preserve">Quelle: </w:t>
      </w:r>
      <w:r>
        <w:t>https://mcp.opencaselaw.ch/entscheid/gr_gerichte_KSK 2021 61</w:t>
      </w:r>
    </w:p>
    <w:p>
      <w:r>
        <w:t>FR: GR_GERICHTE KSK 2021 61 du 17 septembre 2021</w:t>
      </w:r>
    </w:p>
    <w:p>
      <w:r>
        <w:t>IT: GR_GERICHTE KSK 2021 61 del 17 settembre 2021</w:t>
      </w:r>
    </w:p>
    <w:p>
      <w:pPr>
        <w:pStyle w:val="Heading2"/>
      </w:pPr>
      <w:r>
        <w:t>Regeste</w:t>
      </w:r>
    </w:p>
    <w:p>
      <w:r>
        <w:t>unentgeltliche Rechtspflege | URP für Verfahren am Kantonsgericht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/ 4 – der Gesuchsteller auch keine erheblichen Tatsachen oder Beweismittel an- führt, die ihm im früheren Verfahren nicht bekannt oder die schon damals gel- tend zu machen für ihn rechtlich oder tatsächlich unmöglich gewesen wäre oder zu deren Geltendmachung keine Veranlassung bestanden hätte, was gegebenenfalls einen Anspruch auf Revision begründen würde (BGer 5D_112/2015 v. 28.9.2015 E. 4.4.2 m.w.H.), – das Gesuch um unentgeltliche Prozessführung vom 14. September 2021 demnach nicht zulässig und entsprechend zurückzuweisen ist (vgl. Daniel Wuffli/David Fuhrer, Handbuch unentgeltliche Rechtspflege im Zivilprozess, Zürich 2019, Rz. 782), – über die weiteren Anträge des Gesuchtellers (Abnahme und – eventualiter – Erstreckung der Frist zur Leistung des Kostenvorschusses) separat im Verfah- ren KSK 21 55 zu befinden ist, – im Verfahren um unentgeltliche Rechtspflege grundsätzlich keine Gerichtskos- ten erhoben werden (Art. 119 Abs. 6 ZPO), – dies nach der Rechtsprechung jedoch nur für das Gesuchsverfahren, nicht jedoch für das Rechtsmittelverfahren gilt (BGE 137 III 470 E. 6.5.5), – es sich beim Wiedererwägungsgesuch funktional um ein Rechtsmittel handelt, – das vorliegende Verfahren somit kostenpflichtig ist, – angesichts des verursachten Aufwands und des Streitinteresses eine Ent- scheidgebühr von CHF 200.00 angemessen erscheint (Art. 15 Abs. 2 EGzZ- PO [BR 320.100] i.V.m. Art. 13a VGZ [BR 320.210]), – sich das Rechtsmittel gegen die vorliegende Verfügung nach dem für die Hauptsache einschlägigen Rechtsmittel richtet (BGer 4A_540/2017 v. 1.3.2018 E. 1.1; Wuffli/Fuhrer, a.a.O., Rz. 1016 ff.), – der Streitwert der Hauptsache, in der es um die Rückforderung von bevor- schussten Unterhaltsleistungen geht, über CHF 30'000.00 beträgt, womit grundsätzlich die Beschwerde in Zivilsachen offen steht (Art. 72 i.V.m. Art. 74 Abs. 1 lit. b BGG),</w:t>
      </w:r>
    </w:p>
    <w:p>
      <w:r>
        <w:rPr>
          <w:b/>
        </w:rPr>
        <w:t>E. 4</w:t>
      </w:r>
    </w:p>
    <w:p>
      <w:r>
        <w:t>/ 4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